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C13E" w14:textId="32BABB69" w:rsidR="00AC06F6" w:rsidRDefault="00AC06F6" w:rsidP="001B092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5CFD560" wp14:editId="7467C9A5">
            <wp:extent cx="1685925" cy="8429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12" cy="85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D805" w14:textId="5F08F506" w:rsidR="00234FD7" w:rsidRPr="00AC06F6" w:rsidRDefault="001B0929" w:rsidP="00AC06F6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C06F6">
        <w:rPr>
          <w:rFonts w:ascii="Calibri" w:hAnsi="Calibri" w:cs="Calibri"/>
          <w:b/>
          <w:bCs/>
          <w:sz w:val="32"/>
          <w:szCs w:val="32"/>
        </w:rPr>
        <w:t>COMUNICATO STAMPA</w:t>
      </w:r>
    </w:p>
    <w:p w14:paraId="7D7B44BE" w14:textId="211DB447" w:rsidR="001B0929" w:rsidRPr="00AC06F6" w:rsidRDefault="00137B37" w:rsidP="00AC06F6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C06F6">
        <w:rPr>
          <w:rFonts w:ascii="Calibri" w:hAnsi="Calibri" w:cs="Calibri"/>
          <w:b/>
          <w:bCs/>
          <w:sz w:val="36"/>
          <w:szCs w:val="36"/>
        </w:rPr>
        <w:t>Ipercolesterolemia</w:t>
      </w:r>
      <w:r w:rsidR="00456F1A" w:rsidRPr="00AC06F6">
        <w:rPr>
          <w:rFonts w:ascii="Calibri" w:hAnsi="Calibri" w:cs="Calibri"/>
          <w:b/>
          <w:bCs/>
          <w:sz w:val="36"/>
          <w:szCs w:val="36"/>
        </w:rPr>
        <w:t xml:space="preserve"> primaria: “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 xml:space="preserve">Sperimentato modello </w:t>
      </w:r>
      <w:r w:rsidR="00BB3F70" w:rsidRPr="00AC06F6">
        <w:rPr>
          <w:rFonts w:ascii="Calibri" w:hAnsi="Calibri" w:cs="Calibri"/>
          <w:b/>
          <w:bCs/>
          <w:sz w:val="36"/>
          <w:szCs w:val="36"/>
        </w:rPr>
        <w:t xml:space="preserve">per 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>identifica</w:t>
      </w:r>
      <w:r w:rsidR="00BB3F70" w:rsidRPr="00AC06F6">
        <w:rPr>
          <w:rFonts w:ascii="Calibri" w:hAnsi="Calibri" w:cs="Calibri"/>
          <w:b/>
          <w:bCs/>
          <w:sz w:val="36"/>
          <w:szCs w:val="36"/>
        </w:rPr>
        <w:t>r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 xml:space="preserve">e i </w:t>
      </w:r>
      <w:r w:rsidR="00B33EF3" w:rsidRPr="00AC06F6">
        <w:rPr>
          <w:rFonts w:ascii="Calibri" w:hAnsi="Calibri" w:cs="Calibri"/>
          <w:b/>
          <w:bCs/>
          <w:sz w:val="36"/>
          <w:szCs w:val="36"/>
        </w:rPr>
        <w:t xml:space="preserve">pazienti che non raggiungono il target lipidico con le </w:t>
      </w:r>
      <w:r w:rsidR="009B67A7" w:rsidRPr="00AC06F6">
        <w:rPr>
          <w:rFonts w:ascii="Calibri" w:hAnsi="Calibri" w:cs="Calibri"/>
          <w:b/>
          <w:bCs/>
          <w:sz w:val="36"/>
          <w:szCs w:val="36"/>
        </w:rPr>
        <w:t xml:space="preserve">cure 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>disponibili, destinando</w:t>
      </w:r>
      <w:r w:rsidR="009B67A7" w:rsidRPr="00AC06F6">
        <w:rPr>
          <w:rFonts w:ascii="Calibri" w:hAnsi="Calibri" w:cs="Calibri"/>
          <w:b/>
          <w:bCs/>
          <w:sz w:val="36"/>
          <w:szCs w:val="36"/>
        </w:rPr>
        <w:t xml:space="preserve"> loro 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 xml:space="preserve">terapie </w:t>
      </w:r>
      <w:r w:rsidR="00D439D4" w:rsidRPr="00AC06F6">
        <w:rPr>
          <w:rFonts w:ascii="Calibri" w:hAnsi="Calibri" w:cs="Calibri"/>
          <w:b/>
          <w:bCs/>
          <w:sz w:val="36"/>
          <w:szCs w:val="36"/>
        </w:rPr>
        <w:t xml:space="preserve">mirate ed </w:t>
      </w:r>
      <w:r w:rsidR="00630DD2" w:rsidRPr="00AC06F6">
        <w:rPr>
          <w:rFonts w:ascii="Calibri" w:hAnsi="Calibri" w:cs="Calibri"/>
          <w:b/>
          <w:bCs/>
          <w:sz w:val="36"/>
          <w:szCs w:val="36"/>
        </w:rPr>
        <w:t>efficaci</w:t>
      </w:r>
      <w:r w:rsidR="009B67A7" w:rsidRPr="00AC06F6">
        <w:rPr>
          <w:rFonts w:ascii="Calibri" w:hAnsi="Calibri" w:cs="Calibri"/>
          <w:b/>
          <w:bCs/>
          <w:sz w:val="36"/>
          <w:szCs w:val="36"/>
        </w:rPr>
        <w:t>”</w:t>
      </w:r>
    </w:p>
    <w:p w14:paraId="02BC72C4" w14:textId="077A893D" w:rsidR="00956785" w:rsidRPr="00AC06F6" w:rsidRDefault="001B0929" w:rsidP="00AC06F6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C06F6">
        <w:rPr>
          <w:rFonts w:ascii="Calibri" w:hAnsi="Calibri" w:cs="Calibri"/>
          <w:b/>
          <w:bCs/>
          <w:sz w:val="24"/>
          <w:szCs w:val="24"/>
        </w:rPr>
        <w:t>1</w:t>
      </w:r>
      <w:r w:rsidR="00AC06F6" w:rsidRPr="00AC06F6">
        <w:rPr>
          <w:rFonts w:ascii="Calibri" w:hAnsi="Calibri" w:cs="Calibri"/>
          <w:b/>
          <w:bCs/>
          <w:sz w:val="24"/>
          <w:szCs w:val="24"/>
        </w:rPr>
        <w:t>9</w:t>
      </w:r>
      <w:r w:rsidRPr="00AC06F6">
        <w:rPr>
          <w:rFonts w:ascii="Calibri" w:hAnsi="Calibri" w:cs="Calibri"/>
          <w:b/>
          <w:bCs/>
          <w:sz w:val="24"/>
          <w:szCs w:val="24"/>
        </w:rPr>
        <w:t xml:space="preserve"> maggio 2021 </w:t>
      </w:r>
      <w:r w:rsidR="00D7461E" w:rsidRPr="00AC06F6">
        <w:rPr>
          <w:rFonts w:ascii="Calibri" w:hAnsi="Calibri" w:cs="Calibri"/>
          <w:b/>
          <w:bCs/>
          <w:sz w:val="24"/>
          <w:szCs w:val="24"/>
        </w:rPr>
        <w:t>–</w:t>
      </w:r>
      <w:r w:rsidRPr="00AC06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6FDB" w:rsidRPr="00AC06F6">
        <w:rPr>
          <w:rFonts w:ascii="Calibri" w:hAnsi="Calibri" w:cs="Calibri"/>
          <w:b/>
          <w:bCs/>
          <w:sz w:val="24"/>
          <w:szCs w:val="24"/>
        </w:rPr>
        <w:t>Con lo scopo di stimolare un confronto tra medici specialisti, farmacisti, medici di medicina generale ed economisti, sul</w:t>
      </w:r>
      <w:r w:rsidR="00D7461E" w:rsidRPr="00AC06F6">
        <w:rPr>
          <w:rFonts w:ascii="Calibri" w:hAnsi="Calibri" w:cs="Calibri"/>
          <w:b/>
          <w:bCs/>
          <w:sz w:val="24"/>
          <w:szCs w:val="24"/>
        </w:rPr>
        <w:t xml:space="preserve">l’impiego </w:t>
      </w:r>
      <w:r w:rsidR="00C812E3" w:rsidRPr="00AC06F6">
        <w:rPr>
          <w:rFonts w:ascii="Calibri" w:hAnsi="Calibri" w:cs="Calibri"/>
          <w:b/>
          <w:bCs/>
          <w:sz w:val="24"/>
          <w:szCs w:val="24"/>
        </w:rPr>
        <w:t>delle strategie terapeutiche oggi disponibili sull’ipercolesterolemia</w:t>
      </w:r>
      <w:r w:rsidR="007869DE" w:rsidRPr="00AC06F6">
        <w:rPr>
          <w:rFonts w:ascii="Calibri" w:hAnsi="Calibri" w:cs="Calibri"/>
          <w:b/>
          <w:bCs/>
          <w:sz w:val="24"/>
          <w:szCs w:val="24"/>
        </w:rPr>
        <w:t xml:space="preserve"> e </w:t>
      </w:r>
      <w:r w:rsidR="00456F1A" w:rsidRPr="00AC06F6">
        <w:rPr>
          <w:rFonts w:ascii="Calibri" w:hAnsi="Calibri" w:cs="Calibri"/>
          <w:b/>
          <w:bCs/>
          <w:sz w:val="24"/>
          <w:szCs w:val="24"/>
        </w:rPr>
        <w:t xml:space="preserve">sulla loro </w:t>
      </w:r>
      <w:r w:rsidR="00027291" w:rsidRPr="00AC06F6">
        <w:rPr>
          <w:rFonts w:ascii="Calibri" w:hAnsi="Calibri" w:cs="Calibri"/>
          <w:b/>
          <w:bCs/>
          <w:sz w:val="24"/>
          <w:szCs w:val="24"/>
        </w:rPr>
        <w:t>appropriatezza</w:t>
      </w:r>
      <w:r w:rsidR="00456F1A" w:rsidRPr="00AC06F6">
        <w:rPr>
          <w:rFonts w:ascii="Calibri" w:hAnsi="Calibri" w:cs="Calibri"/>
          <w:b/>
          <w:bCs/>
          <w:sz w:val="24"/>
          <w:szCs w:val="24"/>
        </w:rPr>
        <w:t>,</w:t>
      </w:r>
      <w:r w:rsidR="00C812E3" w:rsidRPr="00AC06F6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5" w:history="1">
        <w:r w:rsidR="00AC06F6" w:rsidRPr="00AC06F6">
          <w:rPr>
            <w:rStyle w:val="Collegamentoipertestuale"/>
            <w:rFonts w:ascii="Calibri" w:hAnsi="Calibri" w:cs="Calibri"/>
            <w:b/>
            <w:bCs/>
            <w:color w:val="000000" w:themeColor="text1"/>
            <w:sz w:val="24"/>
            <w:szCs w:val="24"/>
          </w:rPr>
          <w:t>Motore Sanità</w:t>
        </w:r>
      </w:hyperlink>
      <w:r w:rsidR="00CA1AD9" w:rsidRPr="00AC06F6">
        <w:rPr>
          <w:rFonts w:ascii="Calibri" w:hAnsi="Calibri" w:cs="Calibri"/>
          <w:b/>
          <w:bCs/>
          <w:sz w:val="24"/>
          <w:szCs w:val="24"/>
        </w:rPr>
        <w:t xml:space="preserve"> ha organizzato il Webinar </w:t>
      </w:r>
      <w:r w:rsidR="00CA1AD9" w:rsidRPr="00AC06F6">
        <w:rPr>
          <w:rFonts w:ascii="Calibri" w:hAnsi="Calibri" w:cs="Calibri"/>
          <w:b/>
          <w:bCs/>
          <w:color w:val="000000" w:themeColor="text1"/>
          <w:sz w:val="24"/>
          <w:szCs w:val="24"/>
        </w:rPr>
        <w:t>‘</w:t>
      </w:r>
      <w:hyperlink r:id="rId6" w:history="1">
        <w:r w:rsidR="00CA1AD9" w:rsidRPr="00AC06F6">
          <w:rPr>
            <w:rStyle w:val="Collegamentoipertestuale"/>
            <w:rFonts w:ascii="Calibri" w:hAnsi="Calibri" w:cs="Calibri"/>
            <w:b/>
            <w:bCs/>
            <w:color w:val="000000" w:themeColor="text1"/>
            <w:sz w:val="24"/>
            <w:szCs w:val="24"/>
          </w:rPr>
          <w:t>FOCUS IPERCOLESTEROLEMIA</w:t>
        </w:r>
      </w:hyperlink>
      <w:r w:rsidR="00CA1AD9" w:rsidRPr="00AC06F6">
        <w:rPr>
          <w:rFonts w:ascii="Calibri" w:hAnsi="Calibri" w:cs="Calibri"/>
          <w:b/>
          <w:bCs/>
          <w:sz w:val="24"/>
          <w:szCs w:val="24"/>
        </w:rPr>
        <w:t xml:space="preserve">’, </w:t>
      </w:r>
      <w:r w:rsidR="00956785" w:rsidRPr="00AC06F6">
        <w:rPr>
          <w:rFonts w:ascii="Calibri" w:hAnsi="Calibri" w:cs="Calibri"/>
          <w:b/>
          <w:bCs/>
          <w:sz w:val="24"/>
          <w:szCs w:val="24"/>
        </w:rPr>
        <w:t>realizzato grazie al contributo incondizionato di AMGEN</w:t>
      </w:r>
      <w:r w:rsidR="00AC06F6" w:rsidRPr="00AC06F6">
        <w:rPr>
          <w:rFonts w:ascii="Calibri" w:hAnsi="Calibri" w:cs="Calibri"/>
          <w:b/>
          <w:bCs/>
          <w:sz w:val="24"/>
          <w:szCs w:val="24"/>
        </w:rPr>
        <w:t xml:space="preserve"> ed IT-</w:t>
      </w:r>
      <w:proofErr w:type="spellStart"/>
      <w:r w:rsidR="00AC06F6" w:rsidRPr="00AC06F6">
        <w:rPr>
          <w:rFonts w:ascii="Calibri" w:hAnsi="Calibri" w:cs="Calibri"/>
          <w:b/>
          <w:bCs/>
          <w:sz w:val="24"/>
          <w:szCs w:val="24"/>
        </w:rPr>
        <w:t>MeD</w:t>
      </w:r>
      <w:proofErr w:type="spellEnd"/>
    </w:p>
    <w:p w14:paraId="05D03477" w14:textId="37C7F82D" w:rsidR="00AC06F6" w:rsidRPr="00AC06F6" w:rsidRDefault="008F37D4" w:rsidP="00AC06F6">
      <w:pPr>
        <w:pStyle w:val="NormaleWeb"/>
        <w:spacing w:after="0" w:line="360" w:lineRule="auto"/>
        <w:jc w:val="both"/>
        <w:rPr>
          <w:rFonts w:ascii="Calibri" w:hAnsi="Calibri" w:cs="Calibri"/>
          <w:color w:val="000000"/>
        </w:rPr>
      </w:pPr>
      <w:r w:rsidRPr="00AC06F6">
        <w:rPr>
          <w:rFonts w:ascii="Calibri" w:hAnsi="Calibri" w:cs="Calibri"/>
          <w:i/>
          <w:iCs/>
          <w:color w:val="000000"/>
        </w:rPr>
        <w:t xml:space="preserve">“Il colesterolo elevato è un fattore di rischio maggiore per malattia cardiovascolare: ciò è particolarmente evidente nel paziente con diabete mellito che </w:t>
      </w:r>
      <w:r w:rsidR="00D60652" w:rsidRPr="00AC06F6">
        <w:rPr>
          <w:rFonts w:ascii="Calibri" w:hAnsi="Calibri" w:cs="Calibri"/>
          <w:i/>
          <w:iCs/>
          <w:color w:val="000000"/>
        </w:rPr>
        <w:t>spesso</w:t>
      </w:r>
      <w:r w:rsidRPr="00AC06F6">
        <w:rPr>
          <w:rFonts w:ascii="Calibri" w:hAnsi="Calibri" w:cs="Calibri"/>
          <w:i/>
          <w:iCs/>
          <w:color w:val="000000"/>
        </w:rPr>
        <w:t xml:space="preserve"> presenta elevati livelli di colesterolo LDL, particolarmente aterogeno, e ridotti livelli di colesterolo HDL, protettivo. Le concentrazioni plasmatiche di colesterolo dipendono solo in parte dalla quantità di colesterolo introdotto con gli alimenti dal momento che la maggior parte è sintetizzato dal fegato in base alle caratteristiche genetiche di ciascun individuo. Le statine rappresentano </w:t>
      </w:r>
      <w:r w:rsidR="00617B41" w:rsidRPr="00AC06F6">
        <w:rPr>
          <w:rFonts w:ascii="Calibri" w:hAnsi="Calibri" w:cs="Calibri"/>
          <w:i/>
          <w:iCs/>
          <w:color w:val="000000"/>
        </w:rPr>
        <w:t xml:space="preserve">ancora </w:t>
      </w:r>
      <w:r w:rsidRPr="00AC06F6">
        <w:rPr>
          <w:rFonts w:ascii="Calibri" w:hAnsi="Calibri" w:cs="Calibri"/>
          <w:i/>
          <w:iCs/>
          <w:color w:val="000000"/>
        </w:rPr>
        <w:t>il cardine della terapia ipolipemizzante in prevenzione primaria o secondaria, in quanto spesso consentono, specie quelle ad alta intensità associate all’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ezetimibe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>, di ridurre i livelli di LDL e di raggiungere il target terapeutico prefissato. Purtroppo, una considerevole percentuale di pazienti o è intollerante alle statine o non raggiunge, nonostante terapia massimale di statine, livelli di colesterolo ottimali. Negli ultimi anni sono disponibili gli anticorpi monoclonali contro la proteina PCSK9 (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Proprotein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Convertase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Subtilisin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>/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Kexin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type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9) che svolge un ruolo importante nell’aumentare i livelli di colesterolo LDL. La scoperta e l’immissione in commercio di questi farmaci è stata una novità di estrema importanza per il trattamento delle dislipidemie, </w:t>
      </w:r>
      <w:r w:rsidR="003D5437" w:rsidRPr="00AC06F6">
        <w:rPr>
          <w:rFonts w:ascii="Calibri" w:hAnsi="Calibri" w:cs="Calibri"/>
          <w:i/>
          <w:iCs/>
          <w:color w:val="000000"/>
        </w:rPr>
        <w:t xml:space="preserve">in quanto </w:t>
      </w:r>
      <w:r w:rsidRPr="00AC06F6">
        <w:rPr>
          <w:rFonts w:ascii="Calibri" w:hAnsi="Calibri" w:cs="Calibri"/>
          <w:i/>
          <w:iCs/>
          <w:color w:val="000000"/>
        </w:rPr>
        <w:t xml:space="preserve">hanno un effetto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ipocolesterolemizzante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maggiore delle statine, pur riconoscendo </w:t>
      </w:r>
      <w:r w:rsidR="00AD591A" w:rsidRPr="00AC06F6">
        <w:rPr>
          <w:rFonts w:ascii="Calibri" w:hAnsi="Calibri" w:cs="Calibri"/>
          <w:i/>
          <w:iCs/>
          <w:color w:val="000000"/>
        </w:rPr>
        <w:t xml:space="preserve">un </w:t>
      </w:r>
      <w:r w:rsidRPr="00AC06F6">
        <w:rPr>
          <w:rFonts w:ascii="Calibri" w:hAnsi="Calibri" w:cs="Calibri"/>
          <w:i/>
          <w:iCs/>
          <w:color w:val="000000"/>
        </w:rPr>
        <w:t xml:space="preserve">impatto economico rilevante”, </w:t>
      </w:r>
      <w:r w:rsidRPr="00AC06F6">
        <w:rPr>
          <w:rFonts w:ascii="Calibri" w:hAnsi="Calibri" w:cs="Calibri"/>
          <w:color w:val="000000"/>
        </w:rPr>
        <w:t>h</w:t>
      </w:r>
      <w:r w:rsidR="007C1916" w:rsidRPr="00AC06F6">
        <w:rPr>
          <w:rFonts w:ascii="Calibri" w:hAnsi="Calibri" w:cs="Calibri"/>
          <w:color w:val="000000"/>
        </w:rPr>
        <w:t xml:space="preserve">a </w:t>
      </w:r>
      <w:r w:rsidR="00617B41" w:rsidRPr="00AC06F6">
        <w:rPr>
          <w:rFonts w:ascii="Calibri" w:hAnsi="Calibri" w:cs="Calibri"/>
          <w:color w:val="000000"/>
        </w:rPr>
        <w:t>det</w:t>
      </w:r>
      <w:r w:rsidRPr="00AC06F6">
        <w:rPr>
          <w:rFonts w:ascii="Calibri" w:hAnsi="Calibri" w:cs="Calibri"/>
          <w:color w:val="000000"/>
        </w:rPr>
        <w:t>to</w:t>
      </w:r>
      <w:r w:rsidRPr="00AC06F6">
        <w:rPr>
          <w:rFonts w:ascii="Calibri" w:hAnsi="Calibri" w:cs="Calibri"/>
          <w:b/>
          <w:bCs/>
          <w:color w:val="000000"/>
        </w:rPr>
        <w:t xml:space="preserve"> Angelo Avogaro</w:t>
      </w:r>
      <w:r w:rsidRPr="00AC06F6">
        <w:rPr>
          <w:rFonts w:ascii="Calibri" w:hAnsi="Calibri" w:cs="Calibri"/>
          <w:color w:val="000000"/>
        </w:rPr>
        <w:t>, Professore</w:t>
      </w:r>
      <w:r w:rsidR="00AC06F6">
        <w:rPr>
          <w:rFonts w:ascii="Calibri" w:hAnsi="Calibri" w:cs="Calibri"/>
          <w:color w:val="000000"/>
        </w:rPr>
        <w:t xml:space="preserve"> di</w:t>
      </w:r>
      <w:r w:rsidRPr="00AC06F6">
        <w:rPr>
          <w:rFonts w:ascii="Calibri" w:hAnsi="Calibri" w:cs="Calibri"/>
          <w:color w:val="000000"/>
        </w:rPr>
        <w:t xml:space="preserve"> Endocrinologia e Malattie del Metabolismo, Università </w:t>
      </w:r>
      <w:r w:rsidR="00AC06F6">
        <w:rPr>
          <w:rFonts w:ascii="Calibri" w:hAnsi="Calibri" w:cs="Calibri"/>
          <w:color w:val="000000"/>
        </w:rPr>
        <w:t xml:space="preserve">di </w:t>
      </w:r>
      <w:r w:rsidRPr="00AC06F6">
        <w:rPr>
          <w:rFonts w:ascii="Calibri" w:hAnsi="Calibri" w:cs="Calibri"/>
          <w:color w:val="000000"/>
        </w:rPr>
        <w:t>Padova</w:t>
      </w:r>
      <w:r w:rsidR="00AC06F6" w:rsidRPr="00AC06F6">
        <w:rPr>
          <w:rFonts w:ascii="Calibri" w:hAnsi="Calibri" w:cs="Calibri"/>
          <w:color w:val="000000"/>
        </w:rPr>
        <w:t xml:space="preserve"> </w:t>
      </w:r>
    </w:p>
    <w:p w14:paraId="7231A7D8" w14:textId="3E84C040" w:rsidR="001B0929" w:rsidRPr="00AC06F6" w:rsidRDefault="00767DE0" w:rsidP="00AC06F6">
      <w:pPr>
        <w:pStyle w:val="NormaleWeb"/>
        <w:spacing w:after="0" w:line="360" w:lineRule="auto"/>
        <w:jc w:val="both"/>
        <w:rPr>
          <w:rFonts w:ascii="Calibri" w:hAnsi="Calibri" w:cs="Calibri"/>
          <w:sz w:val="32"/>
          <w:szCs w:val="32"/>
        </w:rPr>
      </w:pPr>
      <w:r w:rsidRPr="00AC06F6">
        <w:rPr>
          <w:rFonts w:ascii="Calibri" w:hAnsi="Calibri" w:cs="Calibri"/>
          <w:i/>
          <w:iCs/>
          <w:color w:val="000000"/>
        </w:rPr>
        <w:lastRenderedPageBreak/>
        <w:t xml:space="preserve">“Nonostante le raccomandazioni terapeutiche delle Linee Guida e di una Nota dell’Agenzia Italiana del Farmaco, in pratica clinica, una quota molto rilevante di pazienti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dislipidemici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non raggiunge i target lipidici determinando un numero di eventi cardio/cerebrovascolari ed un consumo di prestazioni</w:t>
      </w:r>
      <w:r w:rsidR="00F76953" w:rsidRPr="00AC06F6">
        <w:rPr>
          <w:rFonts w:ascii="Calibri" w:hAnsi="Calibri" w:cs="Calibri"/>
          <w:i/>
          <w:iCs/>
          <w:color w:val="000000"/>
        </w:rPr>
        <w:t xml:space="preserve"> </w:t>
      </w:r>
      <w:r w:rsidRPr="00AC06F6">
        <w:rPr>
          <w:rFonts w:ascii="Calibri" w:hAnsi="Calibri" w:cs="Calibri"/>
          <w:i/>
          <w:iCs/>
          <w:color w:val="000000"/>
        </w:rPr>
        <w:t xml:space="preserve">assistenziali, viceversa, evitabili. Tra le principali </w:t>
      </w:r>
      <w:r w:rsidR="006E68CA" w:rsidRPr="00AC06F6">
        <w:rPr>
          <w:rFonts w:ascii="Calibri" w:hAnsi="Calibri" w:cs="Calibri"/>
          <w:i/>
          <w:iCs/>
          <w:color w:val="000000"/>
        </w:rPr>
        <w:t>cause</w:t>
      </w:r>
      <w:r w:rsidRPr="00AC06F6">
        <w:rPr>
          <w:rFonts w:ascii="Calibri" w:hAnsi="Calibri" w:cs="Calibri"/>
          <w:i/>
          <w:iCs/>
          <w:color w:val="000000"/>
        </w:rPr>
        <w:t xml:space="preserve"> del mancato raggiungimento degli obiettivi lipidici, in primo luogo, la non ottimizzazione delle terapie ipolipemizzanti standard, evidente in un limitato ricorso a più elevati dosaggi di statina e alla combinazione con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ezetimibe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ma anche in un’ancora insoddisfacente livello di aderenza al trattamento, in secondo luogo, la notevole distanza dal target di alcuni gruppi di pazienti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dislipidemici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>. L’obiettivo del Progetto PRIHTA – Programma per la Ricerca l’Innovazione e l’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Health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Technology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Assessment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(“Appropriatezza ed innovazione nell’ambito delle ipercolesterolemie e della riduzione del rischio cardiovascolare mediante la nuova classe dei farmaci PCSK9i: benefici della programmazione sanitaria”) è stato la sperimentazione di una metodologia di utilizzo dei dati e di analisi per l’identificazione dei pazienti </w:t>
      </w:r>
      <w:proofErr w:type="spellStart"/>
      <w:r w:rsidRPr="00AC06F6">
        <w:rPr>
          <w:rFonts w:ascii="Calibri" w:hAnsi="Calibri" w:cs="Calibri"/>
          <w:i/>
          <w:iCs/>
          <w:color w:val="000000"/>
        </w:rPr>
        <w:t>dislipidemici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 xml:space="preserve"> non controllati per effetto della non ottimizzazione delle terapie standard o della notevole distanza dal target lipidico.</w:t>
      </w:r>
      <w:r w:rsidR="00F2395D" w:rsidRPr="00AC06F6">
        <w:rPr>
          <w:rFonts w:ascii="Calibri" w:hAnsi="Calibri" w:cs="Calibri"/>
          <w:i/>
          <w:iCs/>
          <w:color w:val="000000"/>
        </w:rPr>
        <w:t xml:space="preserve"> </w:t>
      </w:r>
      <w:r w:rsidRPr="00AC06F6">
        <w:rPr>
          <w:rFonts w:ascii="Calibri" w:hAnsi="Calibri" w:cs="Calibri"/>
          <w:i/>
          <w:iCs/>
          <w:color w:val="000000"/>
        </w:rPr>
        <w:t xml:space="preserve">La messa in routine di tale modello garantisce un supporto alla gestione clinica del paziente </w:t>
      </w:r>
      <w:proofErr w:type="spellStart"/>
      <w:r w:rsidR="00F2395D" w:rsidRPr="00AC06F6">
        <w:rPr>
          <w:rFonts w:ascii="Calibri" w:hAnsi="Calibri" w:cs="Calibri"/>
          <w:i/>
          <w:iCs/>
          <w:color w:val="000000"/>
        </w:rPr>
        <w:t>dislipidemico</w:t>
      </w:r>
      <w:proofErr w:type="spellEnd"/>
      <w:r w:rsidRPr="00AC06F6">
        <w:rPr>
          <w:rFonts w:ascii="Calibri" w:hAnsi="Calibri" w:cs="Calibri"/>
          <w:i/>
          <w:iCs/>
          <w:color w:val="000000"/>
        </w:rPr>
        <w:t>, attraverso l’identificazione dei pazienti non controllati e l’analisi dell’appropriatezza delle terapie in essere, ed una razionalizzazione dell’uso delle terapie farmacologiche disponibili, destinando le terapie più efficaci (e più costose) ai pazienti che non riescano a raggiungere il target lipidico con le terapie standard</w:t>
      </w:r>
      <w:r w:rsidR="00F2395D" w:rsidRPr="00AC06F6">
        <w:rPr>
          <w:rFonts w:ascii="Calibri" w:hAnsi="Calibri" w:cs="Calibri"/>
          <w:i/>
          <w:iCs/>
          <w:color w:val="000000"/>
        </w:rPr>
        <w:t>”,</w:t>
      </w:r>
      <w:r w:rsidR="00F2395D" w:rsidRPr="00AC06F6">
        <w:rPr>
          <w:rFonts w:ascii="Calibri" w:hAnsi="Calibri" w:cs="Calibri"/>
          <w:b/>
          <w:bCs/>
          <w:color w:val="000000"/>
        </w:rPr>
        <w:t xml:space="preserve"> </w:t>
      </w:r>
      <w:r w:rsidR="006E68CA" w:rsidRPr="00AC06F6">
        <w:rPr>
          <w:rFonts w:ascii="Calibri" w:hAnsi="Calibri" w:cs="Calibri"/>
          <w:color w:val="000000"/>
        </w:rPr>
        <w:t>ha dichiarato</w:t>
      </w:r>
      <w:r w:rsidR="006E68CA" w:rsidRPr="00AC06F6">
        <w:rPr>
          <w:rFonts w:ascii="Calibri" w:hAnsi="Calibri" w:cs="Calibri"/>
          <w:b/>
          <w:bCs/>
          <w:color w:val="000000"/>
        </w:rPr>
        <w:t xml:space="preserve"> </w:t>
      </w:r>
      <w:r w:rsidR="0097095E" w:rsidRPr="00AC06F6">
        <w:rPr>
          <w:rFonts w:ascii="Calibri" w:hAnsi="Calibri" w:cs="Calibri"/>
          <w:b/>
          <w:bCs/>
          <w:color w:val="000000"/>
        </w:rPr>
        <w:t>Luca degli Esposti</w:t>
      </w:r>
      <w:r w:rsidR="0097095E" w:rsidRPr="00AC06F6">
        <w:rPr>
          <w:rFonts w:ascii="Calibri" w:hAnsi="Calibri" w:cs="Calibri"/>
          <w:color w:val="000000"/>
        </w:rPr>
        <w:t xml:space="preserve">, Presidente </w:t>
      </w:r>
      <w:proofErr w:type="spellStart"/>
      <w:r w:rsidR="0097095E" w:rsidRPr="00AC06F6">
        <w:rPr>
          <w:rFonts w:ascii="Calibri" w:hAnsi="Calibri" w:cs="Calibri"/>
          <w:color w:val="000000"/>
        </w:rPr>
        <w:t>CliCon</w:t>
      </w:r>
      <w:proofErr w:type="spellEnd"/>
      <w:r w:rsidR="0097095E" w:rsidRPr="00AC06F6">
        <w:rPr>
          <w:rFonts w:ascii="Calibri" w:hAnsi="Calibri" w:cs="Calibri"/>
          <w:color w:val="000000"/>
        </w:rPr>
        <w:t xml:space="preserve"> S.r.l. </w:t>
      </w:r>
      <w:proofErr w:type="spellStart"/>
      <w:r w:rsidR="0097095E" w:rsidRPr="00AC06F6">
        <w:rPr>
          <w:rFonts w:ascii="Calibri" w:hAnsi="Calibri" w:cs="Calibri"/>
          <w:color w:val="000000"/>
        </w:rPr>
        <w:t>Health</w:t>
      </w:r>
      <w:proofErr w:type="spellEnd"/>
      <w:r w:rsidR="0097095E" w:rsidRPr="00AC06F6">
        <w:rPr>
          <w:rFonts w:ascii="Calibri" w:hAnsi="Calibri" w:cs="Calibri"/>
          <w:color w:val="000000"/>
        </w:rPr>
        <w:t xml:space="preserve">, </w:t>
      </w:r>
      <w:proofErr w:type="spellStart"/>
      <w:r w:rsidR="0097095E" w:rsidRPr="00AC06F6">
        <w:rPr>
          <w:rFonts w:ascii="Calibri" w:hAnsi="Calibri" w:cs="Calibri"/>
          <w:color w:val="000000"/>
        </w:rPr>
        <w:t>Economics</w:t>
      </w:r>
      <w:proofErr w:type="spellEnd"/>
      <w:r w:rsidR="0097095E" w:rsidRPr="00AC06F6">
        <w:rPr>
          <w:rFonts w:ascii="Calibri" w:hAnsi="Calibri" w:cs="Calibri"/>
          <w:color w:val="000000"/>
        </w:rPr>
        <w:t xml:space="preserve"> &amp; </w:t>
      </w:r>
      <w:proofErr w:type="spellStart"/>
      <w:r w:rsidR="0097095E" w:rsidRPr="00AC06F6">
        <w:rPr>
          <w:rFonts w:ascii="Calibri" w:hAnsi="Calibri" w:cs="Calibri"/>
          <w:color w:val="000000"/>
        </w:rPr>
        <w:t>Outcomes</w:t>
      </w:r>
      <w:proofErr w:type="spellEnd"/>
      <w:r w:rsidR="0097095E" w:rsidRPr="00AC06F6">
        <w:rPr>
          <w:rFonts w:ascii="Calibri" w:hAnsi="Calibri" w:cs="Calibri"/>
          <w:color w:val="000000"/>
        </w:rPr>
        <w:t xml:space="preserve"> </w:t>
      </w:r>
      <w:proofErr w:type="spellStart"/>
      <w:r w:rsidR="0097095E" w:rsidRPr="00AC06F6">
        <w:rPr>
          <w:rFonts w:ascii="Calibri" w:hAnsi="Calibri" w:cs="Calibri"/>
          <w:color w:val="000000"/>
        </w:rPr>
        <w:t>Research</w:t>
      </w:r>
      <w:proofErr w:type="spellEnd"/>
    </w:p>
    <w:p w14:paraId="404AA2A2" w14:textId="0A4E033C" w:rsidR="00AC06F6" w:rsidRDefault="00AC06F6" w:rsidP="00AC06F6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59F3558" w14:textId="77777777" w:rsidR="00AC06F6" w:rsidRPr="00BD799F" w:rsidRDefault="00AC06F6" w:rsidP="00AC06F6">
      <w:pPr>
        <w:widowControl w:val="0"/>
        <w:shd w:val="clear" w:color="auto" w:fill="FFFFFF"/>
        <w:suppressAutoHyphens/>
        <w:spacing w:after="0"/>
        <w:jc w:val="both"/>
        <w:rPr>
          <w:rFonts w:ascii="Calibri" w:eastAsia="Times New Roman" w:hAnsi="Calibri" w:cs="Calibri"/>
          <w:color w:val="500050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>Ufficio stampa Motore Sanità</w:t>
      </w:r>
    </w:p>
    <w:p w14:paraId="67CE3587" w14:textId="77777777" w:rsidR="00AC06F6" w:rsidRPr="00BD799F" w:rsidRDefault="00AC06F6" w:rsidP="00AC06F6">
      <w:pPr>
        <w:widowControl w:val="0"/>
        <w:shd w:val="clear" w:color="auto" w:fill="FFFFFF"/>
        <w:suppressAutoHyphens/>
        <w:spacing w:after="0"/>
        <w:jc w:val="both"/>
        <w:rPr>
          <w:rFonts w:ascii="Calibri" w:eastAsia="Times New Roman" w:hAnsi="Calibri" w:cs="Calibri"/>
          <w:color w:val="1155CC"/>
          <w:kern w:val="2"/>
          <w:sz w:val="18"/>
          <w:szCs w:val="18"/>
          <w:u w:val="single"/>
          <w:lang w:eastAsia="it-IT"/>
        </w:rPr>
      </w:pPr>
      <w:hyperlink r:id="rId7" w:history="1">
        <w:r w:rsidRPr="00BD799F">
          <w:rPr>
            <w:rFonts w:ascii="Calibri" w:eastAsia="Times New Roman" w:hAnsi="Calibri" w:cs="Calibri"/>
            <w:color w:val="0563C1"/>
            <w:kern w:val="2"/>
            <w:sz w:val="18"/>
            <w:szCs w:val="18"/>
            <w:u w:val="single"/>
            <w:lang w:eastAsia="it-IT"/>
          </w:rPr>
          <w:t>comunicazione@motoresanita.it</w:t>
        </w:r>
      </w:hyperlink>
    </w:p>
    <w:p w14:paraId="6CE85D99" w14:textId="77777777" w:rsidR="00AC06F6" w:rsidRPr="00BD799F" w:rsidRDefault="00AC06F6" w:rsidP="00AC06F6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 xml:space="preserve">Liliana Carbone 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-</w:t>
      </w: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 xml:space="preserve"> 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Cell. 347 2642114</w:t>
      </w:r>
    </w:p>
    <w:p w14:paraId="295BA374" w14:textId="77777777" w:rsidR="00AC06F6" w:rsidRPr="00BD799F" w:rsidRDefault="00AC06F6" w:rsidP="00AC06F6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>Marco Biondi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 - Cell. 327 8920962</w:t>
      </w:r>
    </w:p>
    <w:p w14:paraId="3B9A7022" w14:textId="77777777" w:rsidR="00AC06F6" w:rsidRPr="00BD799F" w:rsidRDefault="00AC06F6" w:rsidP="00AC06F6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color w:val="500050"/>
          <w:kern w:val="2"/>
          <w:sz w:val="28"/>
          <w:szCs w:val="28"/>
          <w:lang w:eastAsia="it-IT"/>
        </w:rPr>
      </w:pPr>
      <w:hyperlink r:id="rId8" w:history="1">
        <w:r w:rsidRPr="00BD799F">
          <w:rPr>
            <w:rFonts w:ascii="Calibri" w:eastAsia="Times New Roman" w:hAnsi="Calibri" w:cs="Calibri"/>
            <w:color w:val="0563C1"/>
            <w:kern w:val="2"/>
            <w:sz w:val="18"/>
            <w:szCs w:val="18"/>
            <w:u w:val="single"/>
            <w:lang w:eastAsia="it-IT"/>
          </w:rPr>
          <w:t>www.motoresanita.it</w:t>
        </w:r>
      </w:hyperlink>
    </w:p>
    <w:p w14:paraId="596C203F" w14:textId="1A3A8CAD" w:rsidR="00AC06F6" w:rsidRPr="00AC06F6" w:rsidRDefault="00AC06F6" w:rsidP="00AC06F6">
      <w:pPr>
        <w:widowControl w:val="0"/>
        <w:suppressAutoHyphens/>
        <w:spacing w:after="120"/>
        <w:jc w:val="both"/>
        <w:rPr>
          <w:rFonts w:ascii="Calibri" w:eastAsia="Andale Sans UI" w:hAnsi="Calibri" w:cs="Calibri"/>
          <w:kern w:val="2"/>
          <w:lang w:eastAsia="it-IT"/>
        </w:rPr>
      </w:pPr>
      <w:r w:rsidRPr="00BD799F">
        <w:rPr>
          <w:rFonts w:ascii="Calibri" w:eastAsia="Times New Roman" w:hAnsi="Calibri" w:cs="Calibri"/>
          <w:b/>
          <w:noProof/>
          <w:color w:val="000000"/>
          <w:kern w:val="2"/>
          <w:sz w:val="18"/>
          <w:szCs w:val="18"/>
          <w:lang w:eastAsia="it-IT"/>
        </w:rPr>
        <w:drawing>
          <wp:inline distT="0" distB="0" distL="0" distR="0" wp14:anchorId="3592AACC" wp14:editId="56AF32BE">
            <wp:extent cx="457200" cy="190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6F6" w:rsidRPr="00AC0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4F"/>
    <w:rsid w:val="00027291"/>
    <w:rsid w:val="000D6FDB"/>
    <w:rsid w:val="001326F6"/>
    <w:rsid w:val="00137B37"/>
    <w:rsid w:val="001516A9"/>
    <w:rsid w:val="001B0929"/>
    <w:rsid w:val="00273477"/>
    <w:rsid w:val="00316E13"/>
    <w:rsid w:val="003D5437"/>
    <w:rsid w:val="004143F2"/>
    <w:rsid w:val="00452D5A"/>
    <w:rsid w:val="00456F1A"/>
    <w:rsid w:val="00457095"/>
    <w:rsid w:val="0054424F"/>
    <w:rsid w:val="005C70EA"/>
    <w:rsid w:val="005D72D7"/>
    <w:rsid w:val="00617B41"/>
    <w:rsid w:val="00630DD2"/>
    <w:rsid w:val="00646ACB"/>
    <w:rsid w:val="006E68CA"/>
    <w:rsid w:val="00741144"/>
    <w:rsid w:val="00767DE0"/>
    <w:rsid w:val="007869DE"/>
    <w:rsid w:val="007C1916"/>
    <w:rsid w:val="008D32B7"/>
    <w:rsid w:val="008F37D4"/>
    <w:rsid w:val="00951ED2"/>
    <w:rsid w:val="00956785"/>
    <w:rsid w:val="0097095E"/>
    <w:rsid w:val="009A41D0"/>
    <w:rsid w:val="009B67A7"/>
    <w:rsid w:val="009C5682"/>
    <w:rsid w:val="00A92B25"/>
    <w:rsid w:val="00AB028B"/>
    <w:rsid w:val="00AC06F6"/>
    <w:rsid w:val="00AD591A"/>
    <w:rsid w:val="00AE03C6"/>
    <w:rsid w:val="00B33EF3"/>
    <w:rsid w:val="00B472B9"/>
    <w:rsid w:val="00BB3F70"/>
    <w:rsid w:val="00BE1292"/>
    <w:rsid w:val="00C812E3"/>
    <w:rsid w:val="00CA1AD9"/>
    <w:rsid w:val="00CA7B12"/>
    <w:rsid w:val="00D13B74"/>
    <w:rsid w:val="00D439D4"/>
    <w:rsid w:val="00D60652"/>
    <w:rsid w:val="00D7461E"/>
    <w:rsid w:val="00D97583"/>
    <w:rsid w:val="00F12310"/>
    <w:rsid w:val="00F2395D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76BA"/>
  <w15:chartTrackingRefBased/>
  <w15:docId w15:val="{939741AF-C204-43FE-8375-35CA86F5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tab-span">
    <w:name w:val="apple-tab-span"/>
    <w:basedOn w:val="Carpredefinitoparagrafo"/>
    <w:rsid w:val="0097095E"/>
  </w:style>
  <w:style w:type="paragraph" w:styleId="NormaleWeb">
    <w:name w:val="Normal (Web)"/>
    <w:basedOn w:val="Normale"/>
    <w:uiPriority w:val="99"/>
    <w:unhideWhenUsed/>
    <w:rsid w:val="001B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06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otoresanit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icazione@motoresanit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toresanita.it/eventi/focus-ipercolesterolem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toresanita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Sermonti</dc:creator>
  <cp:keywords/>
  <dc:description/>
  <cp:lastModifiedBy>Marco Biondi</cp:lastModifiedBy>
  <cp:revision>51</cp:revision>
  <dcterms:created xsi:type="dcterms:W3CDTF">2021-04-15T09:41:00Z</dcterms:created>
  <dcterms:modified xsi:type="dcterms:W3CDTF">2021-05-19T07:40:00Z</dcterms:modified>
</cp:coreProperties>
</file>